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3C07" w:rsidRDefault="003064B3">
      <w:pPr>
        <w:widowControl w:val="0"/>
        <w:pBdr>
          <w:top w:val="nil"/>
          <w:left w:val="nil"/>
          <w:bottom w:val="nil"/>
          <w:right w:val="nil"/>
          <w:between w:val="nil"/>
        </w:pBdr>
        <w:spacing w:after="0"/>
      </w:pPr>
      <w:bookmarkStart w:id="0" w:name="_GoBack"/>
      <w:bookmarkEnd w:id="0"/>
      <w:r>
        <w:pict w14:anchorId="292123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0pt;height:50pt;z-index:251657728;visibility:hidden">
            <o:lock v:ext="edit" selection="t"/>
          </v:shape>
        </w:pict>
      </w:r>
    </w:p>
    <w:p w:rsidR="00DC3C07" w:rsidRDefault="003064B3">
      <w:pPr>
        <w:rPr>
          <w:rFonts w:ascii="Arial" w:eastAsia="Arial" w:hAnsi="Arial" w:cs="Arial"/>
          <w:b/>
          <w:sz w:val="36"/>
          <w:szCs w:val="36"/>
        </w:rPr>
      </w:pPr>
      <w:bookmarkStart w:id="1" w:name="_heading=h.gjdgxs" w:colFirst="0" w:colLast="0"/>
      <w:bookmarkEnd w:id="1"/>
      <w:r>
        <w:rPr>
          <w:rFonts w:ascii="Arial" w:eastAsia="Arial" w:hAnsi="Arial" w:cs="Arial"/>
          <w:b/>
          <w:sz w:val="36"/>
          <w:szCs w:val="36"/>
        </w:rPr>
        <w:t>Framework Schedule 3 (Framework Prices)</w:t>
      </w:r>
    </w:p>
    <w:p w:rsidR="00DC3C07" w:rsidRDefault="003064B3">
      <w:pPr>
        <w:numPr>
          <w:ilvl w:val="0"/>
          <w:numId w:val="1"/>
        </w:numPr>
        <w:pBdr>
          <w:top w:val="nil"/>
          <w:left w:val="nil"/>
          <w:bottom w:val="nil"/>
          <w:right w:val="nil"/>
          <w:between w:val="nil"/>
        </w:pBdr>
        <w:tabs>
          <w:tab w:val="left" w:pos="142"/>
        </w:tabs>
        <w:spacing w:before="120" w:after="240" w:line="240" w:lineRule="auto"/>
        <w:jc w:val="both"/>
      </w:pPr>
      <w:bookmarkStart w:id="2" w:name="_heading=h.30j0zll" w:colFirst="0" w:colLast="0"/>
      <w:bookmarkEnd w:id="2"/>
      <w:r>
        <w:rPr>
          <w:rFonts w:ascii="Arial" w:eastAsia="Arial" w:hAnsi="Arial" w:cs="Arial"/>
          <w:b/>
          <w:color w:val="000000"/>
          <w:sz w:val="24"/>
          <w:szCs w:val="24"/>
        </w:rPr>
        <w:t>How Framework Prices are used to calculate Call-Off Charges</w:t>
      </w:r>
    </w:p>
    <w:p w:rsidR="00DC3C07" w:rsidRDefault="003064B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DC3C07" w:rsidRDefault="003064B3">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DC3C07" w:rsidRDefault="003064B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DC3C07" w:rsidRDefault="003064B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DC3C07" w:rsidRDefault="003064B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DC3C07" w:rsidRDefault="003064B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DC3C07" w:rsidRDefault="003064B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DC3C07" w:rsidRDefault="003064B3">
      <w:pPr>
        <w:numPr>
          <w:ilvl w:val="0"/>
          <w:numId w:val="1"/>
        </w:numPr>
        <w:pBdr>
          <w:top w:val="nil"/>
          <w:left w:val="nil"/>
          <w:bottom w:val="nil"/>
          <w:right w:val="nil"/>
          <w:between w:val="nil"/>
        </w:pBdr>
        <w:tabs>
          <w:tab w:val="left" w:pos="142"/>
        </w:tabs>
        <w:spacing w:before="120" w:after="240" w:line="240" w:lineRule="auto"/>
        <w:jc w:val="both"/>
      </w:pPr>
      <w:bookmarkStart w:id="3" w:name="bookmark=id.3znysh7" w:colFirst="0" w:colLast="0"/>
      <w:bookmarkStart w:id="4" w:name="_heading=h.1fob9te" w:colFirst="0" w:colLast="0"/>
      <w:bookmarkEnd w:id="3"/>
      <w:bookmarkEnd w:id="4"/>
      <w:r>
        <w:rPr>
          <w:rFonts w:ascii="Arial" w:eastAsia="Arial" w:hAnsi="Arial" w:cs="Arial"/>
          <w:b/>
          <w:color w:val="000000"/>
          <w:sz w:val="24"/>
          <w:szCs w:val="24"/>
        </w:rPr>
        <w:t xml:space="preserve">Are costs and expenses are included in the Framework </w:t>
      </w:r>
      <w:proofErr w:type="gramStart"/>
      <w:r>
        <w:rPr>
          <w:rFonts w:ascii="Arial" w:eastAsia="Arial" w:hAnsi="Arial" w:cs="Arial"/>
          <w:b/>
          <w:color w:val="000000"/>
          <w:sz w:val="24"/>
          <w:szCs w:val="24"/>
        </w:rPr>
        <w:t>Prices</w:t>
      </w:r>
      <w:proofErr w:type="gramEnd"/>
      <w:r>
        <w:rPr>
          <w:rFonts w:ascii="Arial" w:eastAsia="Arial" w:hAnsi="Arial" w:cs="Arial"/>
          <w:b/>
          <w:color w:val="000000"/>
          <w:sz w:val="24"/>
          <w:szCs w:val="24"/>
        </w:rPr>
        <w:t xml:space="preserve"> </w:t>
      </w:r>
    </w:p>
    <w:p w:rsidR="00DC3C07" w:rsidRDefault="003064B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sz w:val="24"/>
          <w:szCs w:val="24"/>
        </w:rPr>
        <w:t>Except as expressly set out in Paragraph 4 below, or othe</w:t>
      </w:r>
      <w:r>
        <w:rPr>
          <w:rFonts w:ascii="Arial" w:eastAsia="Arial" w:hAnsi="Arial" w:cs="Arial"/>
          <w:sz w:val="24"/>
          <w:szCs w:val="24"/>
        </w:rPr>
        <w:t xml:space="preserve">rwise stated in a Call Off Order Form the </w:t>
      </w:r>
      <w:r>
        <w:rPr>
          <w:rFonts w:ascii="Arial" w:eastAsia="Arial" w:hAnsi="Arial" w:cs="Arial"/>
          <w:color w:val="000000"/>
          <w:sz w:val="24"/>
          <w:szCs w:val="24"/>
        </w:rPr>
        <w:t>Framework Prices shall include all costs and expenses relating to the provision of Deliverables. No further amounts shall be payable in respect of matters such as:</w:t>
      </w:r>
    </w:p>
    <w:p w:rsidR="00DC3C07" w:rsidRDefault="003064B3">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w:t>
      </w:r>
      <w:r>
        <w:rPr>
          <w:rFonts w:ascii="Arial" w:eastAsia="Arial" w:hAnsi="Arial" w:cs="Arial"/>
          <w:color w:val="000000"/>
          <w:sz w:val="24"/>
          <w:szCs w:val="24"/>
        </w:rPr>
        <w:t>d lodging, document or report reproduction, shipping, desktop or office equipment costs, network or data interchange costs or other telecommunications charges; or</w:t>
      </w:r>
    </w:p>
    <w:p w:rsidR="00DC3C07" w:rsidRDefault="003064B3">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rsidR="00DC3C07" w:rsidRDefault="003064B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DC3C07" w:rsidRDefault="003064B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Pr>
          <w:rFonts w:ascii="Arial" w:eastAsia="Arial" w:hAnsi="Arial" w:cs="Arial"/>
          <w:b/>
          <w:sz w:val="24"/>
          <w:szCs w:val="24"/>
        </w:rPr>
        <w:t>2</w:t>
      </w:r>
      <w:r>
        <w:rPr>
          <w:rFonts w:ascii="Arial" w:eastAsia="Arial" w:hAnsi="Arial" w:cs="Arial"/>
          <w:color w:val="000000"/>
          <w:sz w:val="24"/>
          <w:szCs w:val="24"/>
        </w:rPr>
        <w:t xml:space="preserve"> </w:t>
      </w:r>
      <w:r>
        <w:rPr>
          <w:rFonts w:ascii="Arial" w:eastAsia="Arial" w:hAnsi="Arial" w:cs="Arial"/>
          <w:sz w:val="24"/>
          <w:szCs w:val="24"/>
        </w:rPr>
        <w:t>years</w:t>
      </w:r>
      <w:r>
        <w:rPr>
          <w:rFonts w:ascii="Arial" w:eastAsia="Arial" w:hAnsi="Arial" w:cs="Arial"/>
          <w:color w:val="000000"/>
          <w:sz w:val="24"/>
          <w:szCs w:val="24"/>
        </w:rPr>
        <w:t xml:space="preserve">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DC3C07" w:rsidRDefault="003064B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The Supplier shall give CCS at least three (3) Months' notice in writing prior to a Review Date where it</w:t>
      </w:r>
      <w:r>
        <w:rPr>
          <w:rFonts w:ascii="Arial" w:eastAsia="Arial" w:hAnsi="Arial" w:cs="Arial"/>
          <w:color w:val="000000"/>
          <w:sz w:val="24"/>
          <w:szCs w:val="24"/>
        </w:rPr>
        <w:t xml:space="preserve"> wants to request an increase.  If the Supplier does not give notice in time then it will only be able to request an increase prior to the next Review Date.</w:t>
      </w:r>
    </w:p>
    <w:p w:rsidR="00DC3C07" w:rsidRDefault="003064B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DC3C07" w:rsidRDefault="003064B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DC3C07" w:rsidRDefault="003064B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lastRenderedPageBreak/>
        <w:t>for</w:t>
      </w:r>
      <w:r>
        <w:rPr>
          <w:rFonts w:ascii="Arial" w:eastAsia="Arial" w:hAnsi="Arial" w:cs="Arial"/>
          <w:color w:val="000000"/>
          <w:sz w:val="24"/>
          <w:szCs w:val="24"/>
        </w:rPr>
        <w:t xml:space="preserve"> each Framework Price under review, written evidence of the justification for the requested increase including:</w:t>
      </w:r>
    </w:p>
    <w:p w:rsidR="00DC3C07" w:rsidRDefault="003064B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b/>
          <w:i/>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rsidR="00DC3C07" w:rsidRDefault="003064B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rsidR="00DC3C07" w:rsidRDefault="003064B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rsidR="00DC3C07" w:rsidRDefault="003064B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evidence that the Supplier has attempted to mitigate </w:t>
      </w:r>
      <w:r>
        <w:rPr>
          <w:rFonts w:ascii="Arial" w:eastAsia="Arial" w:hAnsi="Arial" w:cs="Arial"/>
          <w:color w:val="000000"/>
          <w:sz w:val="24"/>
          <w:szCs w:val="24"/>
        </w:rPr>
        <w:t>against the increase in the relevant cost components; and</w:t>
      </w:r>
    </w:p>
    <w:p w:rsidR="00DC3C07" w:rsidRDefault="003064B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evidence that the Supplier’s profit component of the </w:t>
      </w:r>
      <w:proofErr w:type="gramStart"/>
      <w:r>
        <w:rPr>
          <w:rFonts w:ascii="Arial" w:eastAsia="Arial" w:hAnsi="Arial" w:cs="Arial"/>
          <w:color w:val="000000"/>
          <w:sz w:val="24"/>
          <w:szCs w:val="24"/>
        </w:rPr>
        <w:t>relevant  Framework</w:t>
      </w:r>
      <w:proofErr w:type="gramEnd"/>
      <w:r>
        <w:rPr>
          <w:rFonts w:ascii="Arial" w:eastAsia="Arial" w:hAnsi="Arial" w:cs="Arial"/>
          <w:color w:val="000000"/>
          <w:sz w:val="24"/>
          <w:szCs w:val="24"/>
        </w:rPr>
        <w:t xml:space="preserve"> Price is no greater than that applying to Framework Prices using the same pricing mechanism as at the Contract Commencement D</w:t>
      </w:r>
      <w:r>
        <w:rPr>
          <w:rFonts w:ascii="Arial" w:eastAsia="Arial" w:hAnsi="Arial" w:cs="Arial"/>
          <w:color w:val="000000"/>
          <w:sz w:val="24"/>
          <w:szCs w:val="24"/>
        </w:rPr>
        <w:t>ate.</w:t>
      </w:r>
    </w:p>
    <w:p w:rsidR="00DC3C07" w:rsidRDefault="003064B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rsidR="00DC3C07" w:rsidRDefault="003064B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w:t>
      </w:r>
      <w:r>
        <w:rPr>
          <w:rFonts w:ascii="Arial" w:eastAsia="Arial" w:hAnsi="Arial" w:cs="Arial"/>
          <w:color w:val="000000"/>
          <w:sz w:val="24"/>
          <w:szCs w:val="24"/>
        </w:rPr>
        <w:t xml:space="preserve"> later date as CCS may determine at its sole discretion and Annex 1 shall be updated accordingly.</w:t>
      </w:r>
    </w:p>
    <w:p w:rsidR="00DC3C07" w:rsidRDefault="003064B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DC3C07" w:rsidRDefault="003064B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DC3C07" w:rsidRDefault="003064B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DC3C07" w:rsidRDefault="003064B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DC3C07" w:rsidRDefault="003064B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rsidR="00DC3C07" w:rsidRDefault="003064B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w:t>
      </w:r>
      <w:r>
        <w:rPr>
          <w:rFonts w:ascii="Arial" w:eastAsia="Arial" w:hAnsi="Arial" w:cs="Arial"/>
          <w:color w:val="000000"/>
          <w:sz w:val="24"/>
          <w:szCs w:val="24"/>
        </w:rPr>
        <w:t>, to decrease the Framework Prices; and</w:t>
      </w:r>
    </w:p>
    <w:p w:rsidR="00DC3C07" w:rsidRDefault="003064B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indexation, where Annex 1 states that a particular Framework Price or any component is “subject to Indexation” in which event Paragraph </w:t>
      </w:r>
      <w:r>
        <w:rPr>
          <w:rFonts w:ascii="Arial" w:eastAsia="Arial" w:hAnsi="Arial" w:cs="Arial"/>
          <w:sz w:val="24"/>
          <w:szCs w:val="24"/>
        </w:rPr>
        <w:t>6</w:t>
      </w:r>
      <w:r>
        <w:rPr>
          <w:rFonts w:ascii="Arial" w:eastAsia="Arial" w:hAnsi="Arial" w:cs="Arial"/>
          <w:color w:val="000000"/>
          <w:sz w:val="24"/>
          <w:szCs w:val="24"/>
        </w:rPr>
        <w:t xml:space="preserve"> below shall apply. </w:t>
      </w:r>
    </w:p>
    <w:p w:rsidR="00DC3C07" w:rsidRDefault="003064B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 xml:space="preserve"> When the Framework Prices are linked to inflation</w:t>
      </w:r>
    </w:p>
    <w:p w:rsidR="00DC3C07" w:rsidRDefault="003064B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Framework Charges are stated to be "subject to Indexation" they shall be adjusted in line with changes in the Consumer Price Index ("CPI").  All other costs, expenses, fees and charges shall not be adjusted to take account of any inflation, change to</w:t>
      </w:r>
      <w:r>
        <w:rPr>
          <w:rFonts w:ascii="Arial" w:eastAsia="Arial" w:hAnsi="Arial" w:cs="Arial"/>
          <w:color w:val="000000"/>
          <w:sz w:val="24"/>
          <w:szCs w:val="24"/>
        </w:rPr>
        <w:t xml:space="preserve"> exchange rate, change to interest rate or any other factor or element which might otherwise increase the cost to the Supplier.</w:t>
      </w:r>
    </w:p>
    <w:p w:rsidR="00DC3C07" w:rsidRDefault="003064B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 xml:space="preserve">Framework Prices shall not be indexed during the first 1 year following the Framework Contract Commencement Date.  </w:t>
      </w:r>
    </w:p>
    <w:p w:rsidR="00DC3C07" w:rsidRDefault="003064B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Annex 1 states a </w:t>
      </w:r>
      <w:proofErr w:type="gramStart"/>
      <w:r>
        <w:rPr>
          <w:rFonts w:ascii="Arial" w:eastAsia="Arial" w:hAnsi="Arial" w:cs="Arial"/>
          <w:color w:val="000000"/>
          <w:sz w:val="24"/>
          <w:szCs w:val="24"/>
        </w:rPr>
        <w:t>Framework</w:t>
      </w:r>
      <w:proofErr w:type="gramEnd"/>
      <w:r>
        <w:rPr>
          <w:rFonts w:ascii="Arial" w:eastAsia="Arial" w:hAnsi="Arial" w:cs="Arial"/>
          <w:color w:val="000000"/>
          <w:sz w:val="24"/>
          <w:szCs w:val="24"/>
        </w:rPr>
        <w:t xml:space="preserve"> Price is subject to Indexation then it will be indexed on the date which is 1 year after the Framework Commencement Date to reflect the percentage change in the CPI since the Framework Commencement Date.  They shall be inde</w:t>
      </w:r>
      <w:r>
        <w:rPr>
          <w:rFonts w:ascii="Arial" w:eastAsia="Arial" w:hAnsi="Arial" w:cs="Arial"/>
          <w:color w:val="000000"/>
          <w:sz w:val="24"/>
          <w:szCs w:val="24"/>
        </w:rPr>
        <w:t>xed on each following yearly anniversary to reflect the percentage change in the CPI since the previous change.</w:t>
      </w:r>
    </w:p>
    <w:p w:rsidR="00DC3C07" w:rsidRDefault="003064B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the CPI Index:</w:t>
      </w:r>
    </w:p>
    <w:p w:rsidR="00DC3C07" w:rsidRDefault="003064B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used to carry out an indexation calculation is updated (for example due to it being provisional) then the indexation calculation shall also be updated unless C</w:t>
      </w:r>
      <w:r>
        <w:rPr>
          <w:rFonts w:ascii="Arial" w:eastAsia="Arial" w:hAnsi="Arial" w:cs="Arial"/>
          <w:sz w:val="24"/>
          <w:szCs w:val="24"/>
        </w:rPr>
        <w:t>C</w:t>
      </w:r>
      <w:r>
        <w:rPr>
          <w:rFonts w:ascii="Arial" w:eastAsia="Arial" w:hAnsi="Arial" w:cs="Arial"/>
          <w:color w:val="000000"/>
          <w:sz w:val="24"/>
          <w:szCs w:val="24"/>
        </w:rPr>
        <w:t xml:space="preserve">S and the Supplier agree otherwise; </w:t>
      </w:r>
    </w:p>
    <w:p w:rsidR="00DC3C07" w:rsidRDefault="003064B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is no longer published, CCS and the Supplier shall agree a </w:t>
      </w:r>
      <w:r>
        <w:rPr>
          <w:rFonts w:ascii="Arial" w:eastAsia="Arial" w:hAnsi="Arial" w:cs="Arial"/>
          <w:color w:val="000000"/>
          <w:sz w:val="24"/>
          <w:szCs w:val="24"/>
        </w:rPr>
        <w:t>fair and reasonable replacement that will have substantially the same effect.</w:t>
      </w:r>
    </w:p>
    <w:p w:rsidR="00DC3C07" w:rsidRDefault="00DC3C07">
      <w:pPr>
        <w:rPr>
          <w:highlight w:val="yellow"/>
        </w:rPr>
      </w:pPr>
      <w:bookmarkStart w:id="6" w:name="_heading=h.tyjcwt" w:colFirst="0" w:colLast="0"/>
      <w:bookmarkEnd w:id="6"/>
    </w:p>
    <w:p w:rsidR="00DC3C07" w:rsidRDefault="00DC3C07">
      <w:pPr>
        <w:rPr>
          <w:highlight w:val="yellow"/>
        </w:rPr>
      </w:pPr>
    </w:p>
    <w:p w:rsidR="00DC3C07" w:rsidRDefault="00DC3C07">
      <w:pPr>
        <w:rPr>
          <w:highlight w:val="yellow"/>
        </w:rPr>
      </w:pPr>
    </w:p>
    <w:p w:rsidR="00DC3C07" w:rsidRDefault="00DC3C07">
      <w:pPr>
        <w:rPr>
          <w:highlight w:val="yellow"/>
        </w:rPr>
      </w:pPr>
    </w:p>
    <w:p w:rsidR="00DC3C07" w:rsidRDefault="00DC3C07">
      <w:pPr>
        <w:rPr>
          <w:highlight w:val="yellow"/>
        </w:rPr>
      </w:pPr>
    </w:p>
    <w:p w:rsidR="00DC3C07" w:rsidRDefault="00DC3C07">
      <w:pPr>
        <w:rPr>
          <w:highlight w:val="yellow"/>
        </w:rPr>
      </w:pPr>
    </w:p>
    <w:p w:rsidR="00DC3C07" w:rsidRDefault="00DC3C07">
      <w:pPr>
        <w:rPr>
          <w:highlight w:val="yellow"/>
        </w:rPr>
      </w:pPr>
    </w:p>
    <w:p w:rsidR="00DC3C07" w:rsidRDefault="00DC3C07">
      <w:pPr>
        <w:rPr>
          <w:highlight w:val="yellow"/>
        </w:rPr>
      </w:pPr>
    </w:p>
    <w:p w:rsidR="00DC3C07" w:rsidRDefault="00DC3C07">
      <w:pPr>
        <w:rPr>
          <w:highlight w:val="yellow"/>
        </w:rPr>
      </w:pPr>
    </w:p>
    <w:p w:rsidR="00DC3C07" w:rsidRDefault="00DC3C07">
      <w:pPr>
        <w:rPr>
          <w:highlight w:val="yellow"/>
        </w:rPr>
      </w:pPr>
    </w:p>
    <w:p w:rsidR="00DC3C07" w:rsidRDefault="00DC3C07">
      <w:pPr>
        <w:rPr>
          <w:highlight w:val="yellow"/>
        </w:rPr>
      </w:pPr>
    </w:p>
    <w:p w:rsidR="00DC3C07" w:rsidRDefault="00DC3C07">
      <w:pPr>
        <w:rPr>
          <w:highlight w:val="yellow"/>
        </w:rPr>
      </w:pPr>
    </w:p>
    <w:p w:rsidR="00DC3C07" w:rsidRDefault="00DC3C07">
      <w:pPr>
        <w:rPr>
          <w:highlight w:val="yellow"/>
        </w:rPr>
      </w:pPr>
    </w:p>
    <w:p w:rsidR="00DC3C07" w:rsidRDefault="00DC3C07">
      <w:pPr>
        <w:rPr>
          <w:highlight w:val="yellow"/>
        </w:rPr>
      </w:pPr>
    </w:p>
    <w:p w:rsidR="00DC3C07" w:rsidRDefault="00DC3C07">
      <w:pPr>
        <w:rPr>
          <w:highlight w:val="yellow"/>
        </w:rPr>
      </w:pPr>
    </w:p>
    <w:p w:rsidR="00DC3C07" w:rsidRDefault="00DC3C07">
      <w:pPr>
        <w:rPr>
          <w:highlight w:val="yellow"/>
        </w:rPr>
      </w:pPr>
    </w:p>
    <w:p w:rsidR="00DC3C07" w:rsidRDefault="00DC3C07">
      <w:pPr>
        <w:rPr>
          <w:highlight w:val="yellow"/>
        </w:rPr>
      </w:pPr>
    </w:p>
    <w:p w:rsidR="00DC3C07" w:rsidRDefault="00DC3C07">
      <w:pPr>
        <w:rPr>
          <w:highlight w:val="yellow"/>
        </w:rPr>
      </w:pPr>
    </w:p>
    <w:p w:rsidR="00DC3C07" w:rsidRDefault="003064B3">
      <w:pPr>
        <w:rPr>
          <w:rFonts w:ascii="Arial" w:eastAsia="Arial" w:hAnsi="Arial" w:cs="Arial"/>
          <w:b/>
          <w:sz w:val="36"/>
          <w:szCs w:val="36"/>
        </w:rPr>
      </w:pPr>
      <w:r>
        <w:rPr>
          <w:rFonts w:ascii="Arial" w:eastAsia="Arial" w:hAnsi="Arial" w:cs="Arial"/>
          <w:b/>
          <w:sz w:val="36"/>
          <w:szCs w:val="36"/>
        </w:rPr>
        <w:t>Annex 1: Rates and Prices</w:t>
      </w:r>
    </w:p>
    <w:p w:rsidR="00DC3C07" w:rsidRDefault="003064B3">
      <w:pPr>
        <w:keepNext/>
        <w:spacing w:before="240" w:after="240" w:line="240" w:lineRule="auto"/>
        <w:rPr>
          <w:rFonts w:ascii="Arial" w:eastAsia="Arial" w:hAnsi="Arial" w:cs="Arial"/>
          <w:b/>
          <w:sz w:val="36"/>
          <w:szCs w:val="36"/>
        </w:rPr>
      </w:pPr>
      <w:r>
        <w:rPr>
          <w:rFonts w:ascii="Arial" w:eastAsia="Arial" w:hAnsi="Arial" w:cs="Arial"/>
          <w:b/>
          <w:sz w:val="36"/>
          <w:szCs w:val="36"/>
        </w:rPr>
        <w:t>Table 1: Time and Materials</w:t>
      </w:r>
    </w:p>
    <w:p w:rsidR="00DC3C07" w:rsidRDefault="003064B3">
      <w:pPr>
        <w:keepNext/>
        <w:spacing w:before="240" w:after="240" w:line="240" w:lineRule="auto"/>
        <w:rPr>
          <w:rFonts w:ascii="Arial" w:eastAsia="Arial" w:hAnsi="Arial" w:cs="Arial"/>
        </w:rPr>
      </w:pPr>
      <w:r>
        <w:rPr>
          <w:rFonts w:ascii="Arial" w:eastAsia="Arial" w:hAnsi="Arial" w:cs="Arial"/>
        </w:rPr>
        <w:t>The Supplier (and its Sub-Contractor) shall not be entitled to include any uplift for risks or contingencies within its day rates</w:t>
      </w:r>
    </w:p>
    <w:p w:rsidR="00DC3C07" w:rsidRDefault="003064B3">
      <w:pPr>
        <w:spacing w:before="240" w:after="240" w:line="240" w:lineRule="auto"/>
        <w:rPr>
          <w:rFonts w:ascii="Arial Bold" w:eastAsia="Arial Bold" w:hAnsi="Arial Bold" w:cs="Arial Bold"/>
          <w:b/>
          <w:smallCaps/>
          <w:color w:val="000000"/>
        </w:rPr>
      </w:pPr>
      <w:r>
        <w:rPr>
          <w:rFonts w:ascii="Arial Bold" w:eastAsia="Arial Bold" w:hAnsi="Arial Bold" w:cs="Arial Bold"/>
          <w:b/>
          <w:smallCaps/>
          <w:color w:val="000000"/>
        </w:rPr>
        <w:t xml:space="preserve">TABLE 1: </w:t>
      </w:r>
    </w:p>
    <w:p w:rsidR="00DC3C07" w:rsidRDefault="003064B3">
      <w:pPr>
        <w:spacing w:before="240" w:after="240" w:line="240" w:lineRule="auto"/>
        <w:rPr>
          <w:rFonts w:ascii="Arial" w:eastAsia="Arial" w:hAnsi="Arial" w:cs="Arial"/>
        </w:rPr>
      </w:pPr>
      <w:r>
        <w:rPr>
          <w:rFonts w:ascii="Arial" w:eastAsia="Arial" w:hAnsi="Arial" w:cs="Arial"/>
          <w:smallCaps/>
          <w:color w:val="000000"/>
        </w:rPr>
        <w:t xml:space="preserve">Water Ancillary Services (Lot 2) Water </w:t>
      </w:r>
      <w:r>
        <w:rPr>
          <w:rFonts w:ascii="Arial" w:eastAsia="Arial" w:hAnsi="Arial" w:cs="Arial"/>
          <w:smallCaps/>
        </w:rPr>
        <w:t>Supply and Sewerage Services (Lot 1)</w:t>
      </w:r>
    </w:p>
    <w:tbl>
      <w:tblPr>
        <w:tblStyle w:val="a"/>
        <w:tblW w:w="8788" w:type="dxa"/>
        <w:tblLayout w:type="fixed"/>
        <w:tblLook w:val="0400" w:firstRow="0" w:lastRow="0" w:firstColumn="0" w:lastColumn="0" w:noHBand="0" w:noVBand="1"/>
      </w:tblPr>
      <w:tblGrid>
        <w:gridCol w:w="5621"/>
        <w:gridCol w:w="3167"/>
      </w:tblGrid>
      <w:tr w:rsidR="00DC3C07">
        <w:trPr>
          <w:trHeight w:val="763"/>
        </w:trPr>
        <w:tc>
          <w:tcPr>
            <w:tcW w:w="56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Framework Price </w:t>
            </w:r>
          </w:p>
        </w:tc>
        <w:tc>
          <w:tcPr>
            <w:tcW w:w="31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Pricing Mechanism</w:t>
            </w:r>
          </w:p>
        </w:tc>
      </w:tr>
      <w:tr w:rsidR="00DC3C07">
        <w:trPr>
          <w:trHeight w:val="745"/>
        </w:trPr>
        <w:tc>
          <w:tcPr>
            <w:tcW w:w="56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Water Ancillary Services</w:t>
            </w:r>
          </w:p>
        </w:tc>
        <w:tc>
          <w:tcPr>
            <w:tcW w:w="31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Time &amp; Materials </w:t>
            </w:r>
          </w:p>
        </w:tc>
      </w:tr>
      <w:tr w:rsidR="00DC3C07">
        <w:trPr>
          <w:trHeight w:val="745"/>
        </w:trPr>
        <w:tc>
          <w:tcPr>
            <w:tcW w:w="56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Water Supply and Sewerage Services</w:t>
            </w:r>
          </w:p>
        </w:tc>
        <w:tc>
          <w:tcPr>
            <w:tcW w:w="31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Fixed</w:t>
            </w:r>
          </w:p>
        </w:tc>
      </w:tr>
    </w:tbl>
    <w:p w:rsidR="00DC3C07" w:rsidRDefault="00DC3C07">
      <w:pPr>
        <w:keepNext/>
        <w:spacing w:before="240" w:after="240" w:line="240" w:lineRule="auto"/>
        <w:rPr>
          <w:rFonts w:ascii="Arial" w:eastAsia="Arial" w:hAnsi="Arial" w:cs="Arial"/>
          <w:sz w:val="24"/>
          <w:szCs w:val="24"/>
        </w:rPr>
      </w:pPr>
    </w:p>
    <w:p w:rsidR="00DC3C07" w:rsidRDefault="00DC3C07">
      <w:pPr>
        <w:spacing w:after="240" w:line="240" w:lineRule="auto"/>
        <w:ind w:firstLine="426"/>
        <w:jc w:val="center"/>
        <w:rPr>
          <w:rFonts w:ascii="Arial Bold" w:eastAsia="Arial Bold" w:hAnsi="Arial Bold" w:cs="Arial Bold"/>
          <w:b/>
          <w:smallCaps/>
          <w:color w:val="000000"/>
        </w:rPr>
      </w:pPr>
    </w:p>
    <w:p w:rsidR="00DC3C07" w:rsidRDefault="00DC3C07">
      <w:pPr>
        <w:spacing w:after="240" w:line="240" w:lineRule="auto"/>
        <w:ind w:firstLine="426"/>
        <w:jc w:val="center"/>
        <w:rPr>
          <w:rFonts w:ascii="Arial Bold" w:eastAsia="Arial Bold" w:hAnsi="Arial Bold" w:cs="Arial Bold"/>
          <w:b/>
          <w:smallCaps/>
          <w:color w:val="000000"/>
        </w:rPr>
      </w:pPr>
    </w:p>
    <w:p w:rsidR="00DC3C07" w:rsidRDefault="00DC3C07">
      <w:pPr>
        <w:spacing w:after="240" w:line="240" w:lineRule="auto"/>
        <w:ind w:firstLine="426"/>
        <w:jc w:val="center"/>
        <w:rPr>
          <w:rFonts w:ascii="Arial Bold" w:eastAsia="Arial Bold" w:hAnsi="Arial Bold" w:cs="Arial Bold"/>
          <w:b/>
          <w:smallCaps/>
          <w:color w:val="000000"/>
        </w:rPr>
      </w:pPr>
    </w:p>
    <w:p w:rsidR="00DC3C07" w:rsidRDefault="00DC3C07">
      <w:pPr>
        <w:spacing w:after="240" w:line="240" w:lineRule="auto"/>
        <w:ind w:firstLine="426"/>
        <w:jc w:val="center"/>
        <w:rPr>
          <w:rFonts w:ascii="Arial Bold" w:eastAsia="Arial Bold" w:hAnsi="Arial Bold" w:cs="Arial Bold"/>
          <w:b/>
          <w:smallCaps/>
          <w:color w:val="000000"/>
        </w:rPr>
      </w:pPr>
    </w:p>
    <w:p w:rsidR="00DC3C07" w:rsidRDefault="00DC3C07">
      <w:pPr>
        <w:spacing w:after="240" w:line="240" w:lineRule="auto"/>
        <w:ind w:firstLine="426"/>
        <w:jc w:val="center"/>
        <w:rPr>
          <w:rFonts w:ascii="Arial Bold" w:eastAsia="Arial Bold" w:hAnsi="Arial Bold" w:cs="Arial Bold"/>
          <w:b/>
          <w:smallCaps/>
          <w:color w:val="000000"/>
        </w:rPr>
      </w:pPr>
    </w:p>
    <w:p w:rsidR="00DC3C07" w:rsidRDefault="00DC3C07">
      <w:pPr>
        <w:spacing w:after="240" w:line="240" w:lineRule="auto"/>
        <w:ind w:firstLine="426"/>
        <w:jc w:val="center"/>
        <w:rPr>
          <w:rFonts w:ascii="Arial Bold" w:eastAsia="Arial Bold" w:hAnsi="Arial Bold" w:cs="Arial Bold"/>
          <w:b/>
          <w:smallCaps/>
          <w:color w:val="000000"/>
        </w:rPr>
      </w:pPr>
    </w:p>
    <w:p w:rsidR="00DC3C07" w:rsidRDefault="00DC3C07">
      <w:pPr>
        <w:spacing w:after="240" w:line="240" w:lineRule="auto"/>
        <w:ind w:firstLine="426"/>
        <w:jc w:val="center"/>
        <w:rPr>
          <w:rFonts w:ascii="Arial Bold" w:eastAsia="Arial Bold" w:hAnsi="Arial Bold" w:cs="Arial Bold"/>
          <w:b/>
          <w:smallCaps/>
          <w:color w:val="000000"/>
        </w:rPr>
      </w:pPr>
    </w:p>
    <w:p w:rsidR="00DC3C07" w:rsidRDefault="00DC3C07">
      <w:pPr>
        <w:spacing w:after="240" w:line="240" w:lineRule="auto"/>
        <w:ind w:firstLine="426"/>
        <w:jc w:val="center"/>
        <w:rPr>
          <w:rFonts w:ascii="Arial Bold" w:eastAsia="Arial Bold" w:hAnsi="Arial Bold" w:cs="Arial Bold"/>
          <w:b/>
          <w:smallCaps/>
          <w:color w:val="000000"/>
        </w:rPr>
      </w:pPr>
    </w:p>
    <w:p w:rsidR="00DC3C07" w:rsidRDefault="00DC3C07">
      <w:pPr>
        <w:spacing w:after="240" w:line="240" w:lineRule="auto"/>
        <w:ind w:firstLine="426"/>
        <w:jc w:val="center"/>
        <w:rPr>
          <w:rFonts w:ascii="Arial Bold" w:eastAsia="Arial Bold" w:hAnsi="Arial Bold" w:cs="Arial Bold"/>
          <w:b/>
          <w:smallCaps/>
          <w:color w:val="000000"/>
        </w:rPr>
      </w:pPr>
    </w:p>
    <w:p w:rsidR="00DC3C07" w:rsidRDefault="00DC3C07">
      <w:pPr>
        <w:spacing w:after="240" w:line="240" w:lineRule="auto"/>
        <w:ind w:firstLine="426"/>
        <w:jc w:val="center"/>
        <w:rPr>
          <w:rFonts w:ascii="Arial Bold" w:eastAsia="Arial Bold" w:hAnsi="Arial Bold" w:cs="Arial Bold"/>
          <w:b/>
          <w:smallCaps/>
          <w:color w:val="000000"/>
        </w:rPr>
      </w:pPr>
    </w:p>
    <w:p w:rsidR="00DC3C07" w:rsidRDefault="00DC3C07">
      <w:pPr>
        <w:spacing w:after="240" w:line="240" w:lineRule="auto"/>
        <w:ind w:firstLine="426"/>
        <w:jc w:val="center"/>
        <w:rPr>
          <w:rFonts w:ascii="Arial Bold" w:eastAsia="Arial Bold" w:hAnsi="Arial Bold" w:cs="Arial Bold"/>
          <w:b/>
          <w:smallCaps/>
          <w:color w:val="000000"/>
        </w:rPr>
      </w:pPr>
    </w:p>
    <w:p w:rsidR="00DC3C07" w:rsidRDefault="00DC3C07">
      <w:pPr>
        <w:spacing w:after="240" w:line="240" w:lineRule="auto"/>
        <w:rPr>
          <w:rFonts w:ascii="Arial" w:eastAsia="Arial" w:hAnsi="Arial" w:cs="Arial"/>
          <w:b/>
          <w:smallCaps/>
          <w:color w:val="000000"/>
          <w:sz w:val="36"/>
          <w:szCs w:val="36"/>
        </w:rPr>
      </w:pPr>
    </w:p>
    <w:p w:rsidR="00DC3C07" w:rsidRDefault="00DC3C07">
      <w:pPr>
        <w:spacing w:after="240" w:line="240" w:lineRule="auto"/>
        <w:rPr>
          <w:rFonts w:ascii="Arial" w:eastAsia="Arial" w:hAnsi="Arial" w:cs="Arial"/>
          <w:b/>
          <w:smallCaps/>
          <w:color w:val="000000"/>
          <w:sz w:val="36"/>
          <w:szCs w:val="36"/>
        </w:rPr>
      </w:pPr>
    </w:p>
    <w:p w:rsidR="00DC3C07" w:rsidRDefault="00DC3C07">
      <w:pPr>
        <w:spacing w:after="240" w:line="240" w:lineRule="auto"/>
        <w:rPr>
          <w:rFonts w:ascii="Arial" w:eastAsia="Arial" w:hAnsi="Arial" w:cs="Arial"/>
          <w:b/>
          <w:smallCaps/>
          <w:color w:val="000000"/>
          <w:sz w:val="36"/>
          <w:szCs w:val="36"/>
        </w:rPr>
      </w:pPr>
    </w:p>
    <w:p w:rsidR="00DC3C07" w:rsidRDefault="00DC3C07">
      <w:pPr>
        <w:spacing w:after="240" w:line="240" w:lineRule="auto"/>
        <w:rPr>
          <w:rFonts w:ascii="Arial" w:eastAsia="Arial" w:hAnsi="Arial" w:cs="Arial"/>
          <w:b/>
          <w:smallCaps/>
          <w:color w:val="000000"/>
          <w:sz w:val="36"/>
          <w:szCs w:val="36"/>
        </w:rPr>
      </w:pPr>
    </w:p>
    <w:p w:rsidR="00DC3C07" w:rsidRDefault="003064B3">
      <w:pPr>
        <w:spacing w:after="240" w:line="240" w:lineRule="auto"/>
        <w:rPr>
          <w:rFonts w:ascii="Arial" w:eastAsia="Arial" w:hAnsi="Arial" w:cs="Arial"/>
          <w:sz w:val="36"/>
          <w:szCs w:val="36"/>
        </w:rPr>
      </w:pPr>
      <w:r>
        <w:rPr>
          <w:rFonts w:ascii="Arial" w:eastAsia="Arial" w:hAnsi="Arial" w:cs="Arial"/>
          <w:b/>
          <w:smallCaps/>
          <w:color w:val="000000"/>
          <w:sz w:val="36"/>
          <w:szCs w:val="36"/>
        </w:rPr>
        <w:t>ANNEX 2: RATES AND PRICES</w:t>
      </w:r>
    </w:p>
    <w:p w:rsidR="00DC3C07" w:rsidRDefault="003064B3">
      <w:pPr>
        <w:spacing w:before="240" w:after="240" w:line="240" w:lineRule="auto"/>
        <w:rPr>
          <w:rFonts w:ascii="Arial" w:eastAsia="Arial" w:hAnsi="Arial" w:cs="Arial"/>
          <w:sz w:val="32"/>
          <w:szCs w:val="32"/>
        </w:rPr>
      </w:pPr>
      <w:r>
        <w:rPr>
          <w:rFonts w:ascii="Arial" w:eastAsia="Arial" w:hAnsi="Arial" w:cs="Arial"/>
          <w:b/>
          <w:smallCaps/>
          <w:color w:val="000000"/>
          <w:sz w:val="36"/>
          <w:szCs w:val="36"/>
        </w:rPr>
        <w:t xml:space="preserve">TABLE 1: Water ancillary services </w:t>
      </w:r>
      <w:r>
        <w:rPr>
          <w:rFonts w:ascii="Arial" w:eastAsia="Arial" w:hAnsi="Arial" w:cs="Arial"/>
          <w:b/>
          <w:smallCaps/>
          <w:color w:val="000000"/>
          <w:sz w:val="32"/>
          <w:szCs w:val="32"/>
        </w:rPr>
        <w:t>(Lot 2)</w:t>
      </w:r>
    </w:p>
    <w:tbl>
      <w:tblPr>
        <w:tblStyle w:val="a0"/>
        <w:tblW w:w="9016" w:type="dxa"/>
        <w:tblLayout w:type="fixed"/>
        <w:tblLook w:val="0400" w:firstRow="0" w:lastRow="0" w:firstColumn="0" w:lastColumn="0" w:noHBand="0" w:noVBand="1"/>
      </w:tblPr>
      <w:tblGrid>
        <w:gridCol w:w="4390"/>
        <w:gridCol w:w="3402"/>
        <w:gridCol w:w="1224"/>
      </w:tblGrid>
      <w:tr w:rsidR="00DC3C07">
        <w:tc>
          <w:tcPr>
            <w:tcW w:w="43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b/>
                <w:color w:val="000000"/>
              </w:rPr>
              <w:t>Service</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b/>
                <w:color w:val="000000"/>
              </w:rPr>
              <w:t>Cost Metric</w:t>
            </w:r>
          </w:p>
        </w:tc>
        <w:tc>
          <w:tcPr>
            <w:tcW w:w="12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b/>
                <w:color w:val="000000"/>
              </w:rPr>
              <w:t>Price (</w:t>
            </w:r>
            <w:r>
              <w:rPr>
                <w:b/>
              </w:rPr>
              <w:t xml:space="preserve">£0.00) </w:t>
            </w:r>
          </w:p>
        </w:tc>
      </w:tr>
      <w:tr w:rsidR="00DC3C07">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Water Footprint Assessment</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Day Rate</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DC3C07">
            <w:pPr>
              <w:spacing w:after="0" w:line="240" w:lineRule="auto"/>
              <w:rPr>
                <w:rFonts w:ascii="Times New Roman" w:eastAsia="Times New Roman" w:hAnsi="Times New Roman" w:cs="Times New Roman"/>
                <w:sz w:val="24"/>
                <w:szCs w:val="24"/>
              </w:rPr>
            </w:pPr>
          </w:p>
        </w:tc>
      </w:tr>
      <w:tr w:rsidR="00DC3C07">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Tariff Optimisation and Benchmarking</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Fee Per Meter</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DC3C07">
            <w:pPr>
              <w:spacing w:after="0" w:line="240" w:lineRule="auto"/>
              <w:rPr>
                <w:rFonts w:ascii="Times New Roman" w:eastAsia="Times New Roman" w:hAnsi="Times New Roman" w:cs="Times New Roman"/>
                <w:sz w:val="24"/>
                <w:szCs w:val="24"/>
              </w:rPr>
            </w:pPr>
          </w:p>
        </w:tc>
      </w:tr>
      <w:tr w:rsidR="00DC3C07">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Water Audit Site Surveys</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Day Rate</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DC3C07">
            <w:pPr>
              <w:spacing w:after="0" w:line="240" w:lineRule="auto"/>
              <w:rPr>
                <w:rFonts w:ascii="Times New Roman" w:eastAsia="Times New Roman" w:hAnsi="Times New Roman" w:cs="Times New Roman"/>
                <w:sz w:val="24"/>
                <w:szCs w:val="24"/>
              </w:rPr>
            </w:pPr>
          </w:p>
        </w:tc>
      </w:tr>
      <w:tr w:rsidR="00DC3C07">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Leak Detection and Repair</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 xml:space="preserve">Day Rate (8 hours) </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DC3C07">
            <w:pPr>
              <w:spacing w:after="0" w:line="240" w:lineRule="auto"/>
              <w:rPr>
                <w:rFonts w:ascii="Times New Roman" w:eastAsia="Times New Roman" w:hAnsi="Times New Roman" w:cs="Times New Roman"/>
                <w:sz w:val="24"/>
                <w:szCs w:val="24"/>
              </w:rPr>
            </w:pPr>
          </w:p>
        </w:tc>
      </w:tr>
      <w:tr w:rsidR="00DC3C07">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Contingency Planning</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Day Rate</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DC3C07">
            <w:pPr>
              <w:spacing w:after="0" w:line="240" w:lineRule="auto"/>
              <w:rPr>
                <w:rFonts w:ascii="Times New Roman" w:eastAsia="Times New Roman" w:hAnsi="Times New Roman" w:cs="Times New Roman"/>
                <w:sz w:val="24"/>
                <w:szCs w:val="24"/>
              </w:rPr>
            </w:pPr>
          </w:p>
        </w:tc>
      </w:tr>
      <w:tr w:rsidR="00DC3C07">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Legionella Risk Assessment</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Day Rate</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DC3C07">
            <w:pPr>
              <w:spacing w:after="0" w:line="240" w:lineRule="auto"/>
              <w:rPr>
                <w:rFonts w:ascii="Times New Roman" w:eastAsia="Times New Roman" w:hAnsi="Times New Roman" w:cs="Times New Roman"/>
                <w:sz w:val="24"/>
                <w:szCs w:val="24"/>
              </w:rPr>
            </w:pPr>
          </w:p>
        </w:tc>
      </w:tr>
      <w:tr w:rsidR="00DC3C07">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Automated Meter Reading</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rPr>
                <w:rFonts w:ascii="Times New Roman" w:eastAsia="Times New Roman" w:hAnsi="Times New Roman" w:cs="Times New Roman"/>
                <w:sz w:val="24"/>
                <w:szCs w:val="24"/>
              </w:rPr>
            </w:pPr>
            <w:r>
              <w:rPr>
                <w:color w:val="000000"/>
              </w:rPr>
              <w:t>Annual Fee per 1 Asset installed, commissioned, maintained and communications/data feed per year.</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DC3C07">
            <w:pPr>
              <w:spacing w:after="0" w:line="240" w:lineRule="auto"/>
              <w:rPr>
                <w:rFonts w:ascii="Times New Roman" w:eastAsia="Times New Roman" w:hAnsi="Times New Roman" w:cs="Times New Roman"/>
                <w:sz w:val="24"/>
                <w:szCs w:val="24"/>
              </w:rPr>
            </w:pPr>
          </w:p>
        </w:tc>
      </w:tr>
      <w:tr w:rsidR="00DC3C07">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Bill Validation</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Fee Per Meter</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DC3C07">
            <w:pPr>
              <w:spacing w:after="0" w:line="240" w:lineRule="auto"/>
              <w:rPr>
                <w:rFonts w:ascii="Times New Roman" w:eastAsia="Times New Roman" w:hAnsi="Times New Roman" w:cs="Times New Roman"/>
                <w:sz w:val="24"/>
                <w:szCs w:val="24"/>
              </w:rPr>
            </w:pPr>
          </w:p>
        </w:tc>
      </w:tr>
      <w:tr w:rsidR="00DC3C07">
        <w:tc>
          <w:tcPr>
            <w:tcW w:w="43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Cost Recovery</w:t>
            </w:r>
          </w:p>
        </w:tc>
        <w:tc>
          <w:tcPr>
            <w:tcW w:w="34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Percentage Share </w:t>
            </w:r>
          </w:p>
        </w:tc>
        <w:tc>
          <w:tcPr>
            <w:tcW w:w="1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DC3C07">
            <w:pPr>
              <w:spacing w:after="0" w:line="240" w:lineRule="auto"/>
              <w:rPr>
                <w:rFonts w:ascii="Times New Roman" w:eastAsia="Times New Roman" w:hAnsi="Times New Roman" w:cs="Times New Roman"/>
                <w:sz w:val="24"/>
                <w:szCs w:val="24"/>
              </w:rPr>
            </w:pPr>
          </w:p>
        </w:tc>
      </w:tr>
    </w:tbl>
    <w:p w:rsidR="00DC3C07" w:rsidRDefault="00DC3C07">
      <w:pPr>
        <w:spacing w:before="240" w:after="240" w:line="240" w:lineRule="auto"/>
        <w:rPr>
          <w:rFonts w:ascii="Arial" w:eastAsia="Arial" w:hAnsi="Arial" w:cs="Arial"/>
          <w:b/>
          <w:smallCaps/>
          <w:sz w:val="36"/>
          <w:szCs w:val="36"/>
        </w:rPr>
      </w:pPr>
    </w:p>
    <w:p w:rsidR="00DC3C07" w:rsidRDefault="00DC3C07">
      <w:pPr>
        <w:spacing w:before="240" w:after="240" w:line="240" w:lineRule="auto"/>
        <w:rPr>
          <w:rFonts w:ascii="Arial" w:eastAsia="Arial" w:hAnsi="Arial" w:cs="Arial"/>
          <w:b/>
          <w:smallCaps/>
          <w:sz w:val="36"/>
          <w:szCs w:val="36"/>
        </w:rPr>
      </w:pPr>
    </w:p>
    <w:p w:rsidR="00DC3C07" w:rsidRDefault="00DC3C07">
      <w:pPr>
        <w:spacing w:before="240" w:after="240" w:line="240" w:lineRule="auto"/>
        <w:rPr>
          <w:rFonts w:ascii="Arial" w:eastAsia="Arial" w:hAnsi="Arial" w:cs="Arial"/>
          <w:b/>
          <w:smallCaps/>
          <w:color w:val="000000"/>
          <w:sz w:val="36"/>
          <w:szCs w:val="36"/>
        </w:rPr>
      </w:pPr>
    </w:p>
    <w:p w:rsidR="00DC3C07" w:rsidRDefault="00DC3C07">
      <w:pPr>
        <w:spacing w:before="240" w:after="240" w:line="240" w:lineRule="auto"/>
        <w:rPr>
          <w:rFonts w:ascii="Arial" w:eastAsia="Arial" w:hAnsi="Arial" w:cs="Arial"/>
          <w:b/>
          <w:smallCaps/>
          <w:color w:val="000000"/>
          <w:sz w:val="36"/>
          <w:szCs w:val="36"/>
        </w:rPr>
      </w:pPr>
    </w:p>
    <w:p w:rsidR="00DC3C07" w:rsidRDefault="00DC3C07">
      <w:pPr>
        <w:spacing w:before="240" w:after="240" w:line="240" w:lineRule="auto"/>
        <w:rPr>
          <w:rFonts w:ascii="Arial" w:eastAsia="Arial" w:hAnsi="Arial" w:cs="Arial"/>
          <w:b/>
          <w:smallCaps/>
          <w:color w:val="000000"/>
          <w:sz w:val="36"/>
          <w:szCs w:val="36"/>
        </w:rPr>
      </w:pPr>
    </w:p>
    <w:p w:rsidR="00DC3C07" w:rsidRDefault="003064B3">
      <w:pPr>
        <w:spacing w:before="240" w:after="240" w:line="240" w:lineRule="auto"/>
        <w:rPr>
          <w:rFonts w:ascii="Arial" w:eastAsia="Arial" w:hAnsi="Arial" w:cs="Arial"/>
          <w:sz w:val="32"/>
          <w:szCs w:val="32"/>
        </w:rPr>
      </w:pPr>
      <w:r>
        <w:rPr>
          <w:rFonts w:ascii="Arial" w:eastAsia="Arial" w:hAnsi="Arial" w:cs="Arial"/>
          <w:b/>
          <w:smallCaps/>
          <w:color w:val="000000"/>
          <w:sz w:val="36"/>
          <w:szCs w:val="36"/>
        </w:rPr>
        <w:lastRenderedPageBreak/>
        <w:t xml:space="preserve">TABLE 2: Water and sewerage services </w:t>
      </w:r>
      <w:r>
        <w:rPr>
          <w:rFonts w:ascii="Arial" w:eastAsia="Arial" w:hAnsi="Arial" w:cs="Arial"/>
          <w:b/>
          <w:smallCaps/>
          <w:color w:val="000000"/>
          <w:sz w:val="32"/>
          <w:szCs w:val="32"/>
        </w:rPr>
        <w:t>(Lot 1)</w:t>
      </w:r>
    </w:p>
    <w:tbl>
      <w:tblPr>
        <w:tblStyle w:val="a1"/>
        <w:tblW w:w="9114" w:type="dxa"/>
        <w:tblLayout w:type="fixed"/>
        <w:tblLook w:val="0400" w:firstRow="0" w:lastRow="0" w:firstColumn="0" w:lastColumn="0" w:noHBand="0" w:noVBand="1"/>
      </w:tblPr>
      <w:tblGrid>
        <w:gridCol w:w="4274"/>
        <w:gridCol w:w="4840"/>
      </w:tblGrid>
      <w:tr w:rsidR="00DC3C07">
        <w:trPr>
          <w:trHeight w:val="432"/>
        </w:trPr>
        <w:tc>
          <w:tcPr>
            <w:tcW w:w="4274"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b/>
                <w:color w:val="000000"/>
              </w:rPr>
              <w:t>Framework Price</w:t>
            </w:r>
          </w:p>
        </w:tc>
        <w:tc>
          <w:tcPr>
            <w:tcW w:w="48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b/>
                <w:color w:val="000000"/>
              </w:rPr>
              <w:t>Retail Percentage Charge (%)</w:t>
            </w:r>
          </w:p>
        </w:tc>
      </w:tr>
      <w:tr w:rsidR="00DC3C07">
        <w:trPr>
          <w:trHeight w:val="422"/>
        </w:trPr>
        <w:tc>
          <w:tcPr>
            <w:tcW w:w="42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Metered Water Supply</w:t>
            </w:r>
          </w:p>
        </w:tc>
        <w:tc>
          <w:tcPr>
            <w:tcW w:w="48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DC3C07" w:rsidRDefault="00DC3C07">
            <w:pPr>
              <w:spacing w:after="0" w:line="240" w:lineRule="auto"/>
              <w:rPr>
                <w:rFonts w:ascii="Times New Roman" w:eastAsia="Times New Roman" w:hAnsi="Times New Roman" w:cs="Times New Roman"/>
                <w:sz w:val="24"/>
                <w:szCs w:val="24"/>
              </w:rPr>
            </w:pPr>
          </w:p>
        </w:tc>
      </w:tr>
      <w:tr w:rsidR="00DC3C07">
        <w:trPr>
          <w:trHeight w:val="432"/>
        </w:trPr>
        <w:tc>
          <w:tcPr>
            <w:tcW w:w="42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Metered Wastewater</w:t>
            </w:r>
          </w:p>
        </w:tc>
        <w:tc>
          <w:tcPr>
            <w:tcW w:w="48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DC3C07" w:rsidRDefault="00DC3C07">
            <w:pPr>
              <w:spacing w:after="0" w:line="240" w:lineRule="auto"/>
              <w:rPr>
                <w:rFonts w:ascii="Times New Roman" w:eastAsia="Times New Roman" w:hAnsi="Times New Roman" w:cs="Times New Roman"/>
                <w:sz w:val="24"/>
                <w:szCs w:val="24"/>
              </w:rPr>
            </w:pPr>
          </w:p>
        </w:tc>
      </w:tr>
      <w:tr w:rsidR="00DC3C07">
        <w:trPr>
          <w:trHeight w:val="422"/>
        </w:trPr>
        <w:tc>
          <w:tcPr>
            <w:tcW w:w="42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Unmetered Water Supply</w:t>
            </w:r>
          </w:p>
        </w:tc>
        <w:tc>
          <w:tcPr>
            <w:tcW w:w="48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DC3C07" w:rsidRDefault="00DC3C07">
            <w:pPr>
              <w:spacing w:after="0" w:line="240" w:lineRule="auto"/>
              <w:rPr>
                <w:rFonts w:ascii="Times New Roman" w:eastAsia="Times New Roman" w:hAnsi="Times New Roman" w:cs="Times New Roman"/>
                <w:sz w:val="24"/>
                <w:szCs w:val="24"/>
              </w:rPr>
            </w:pPr>
          </w:p>
        </w:tc>
      </w:tr>
      <w:tr w:rsidR="00DC3C07">
        <w:trPr>
          <w:trHeight w:val="432"/>
        </w:trPr>
        <w:tc>
          <w:tcPr>
            <w:tcW w:w="42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Unmetered Wastewater</w:t>
            </w:r>
          </w:p>
        </w:tc>
        <w:tc>
          <w:tcPr>
            <w:tcW w:w="48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DC3C07" w:rsidRDefault="00DC3C07">
            <w:pPr>
              <w:spacing w:after="0" w:line="240" w:lineRule="auto"/>
              <w:rPr>
                <w:rFonts w:ascii="Times New Roman" w:eastAsia="Times New Roman" w:hAnsi="Times New Roman" w:cs="Times New Roman"/>
                <w:sz w:val="24"/>
                <w:szCs w:val="24"/>
              </w:rPr>
            </w:pPr>
          </w:p>
        </w:tc>
      </w:tr>
      <w:tr w:rsidR="00DC3C07">
        <w:trPr>
          <w:trHeight w:val="359"/>
        </w:trPr>
        <w:tc>
          <w:tcPr>
            <w:tcW w:w="42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C3C07" w:rsidRDefault="003064B3">
            <w:pPr>
              <w:spacing w:before="240" w:after="120" w:line="240" w:lineRule="auto"/>
              <w:ind w:left="142"/>
              <w:jc w:val="both"/>
              <w:rPr>
                <w:rFonts w:ascii="Times New Roman" w:eastAsia="Times New Roman" w:hAnsi="Times New Roman" w:cs="Times New Roman"/>
                <w:sz w:val="24"/>
                <w:szCs w:val="24"/>
              </w:rPr>
            </w:pPr>
            <w:r>
              <w:rPr>
                <w:color w:val="000000"/>
              </w:rPr>
              <w:t>Trade Effluent Services</w:t>
            </w:r>
          </w:p>
        </w:tc>
        <w:tc>
          <w:tcPr>
            <w:tcW w:w="48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rsidR="00DC3C07" w:rsidRDefault="00DC3C07">
            <w:pPr>
              <w:spacing w:after="0" w:line="240" w:lineRule="auto"/>
              <w:rPr>
                <w:rFonts w:ascii="Times New Roman" w:eastAsia="Times New Roman" w:hAnsi="Times New Roman" w:cs="Times New Roman"/>
                <w:sz w:val="24"/>
                <w:szCs w:val="24"/>
              </w:rPr>
            </w:pPr>
          </w:p>
        </w:tc>
      </w:tr>
    </w:tbl>
    <w:p w:rsidR="00DC3C07" w:rsidRDefault="00DC3C07">
      <w:pPr>
        <w:spacing w:after="240" w:line="240" w:lineRule="auto"/>
        <w:jc w:val="center"/>
        <w:rPr>
          <w:rFonts w:ascii="Arial Bold" w:eastAsia="Arial Bold" w:hAnsi="Arial Bold" w:cs="Arial Bold"/>
          <w:b/>
          <w:smallCaps/>
          <w:color w:val="000000"/>
        </w:rPr>
      </w:pPr>
    </w:p>
    <w:p w:rsidR="00DC3C07" w:rsidRDefault="00DC3C07">
      <w:pPr>
        <w:spacing w:after="240" w:line="240" w:lineRule="auto"/>
        <w:rPr>
          <w:rFonts w:ascii="Arial" w:eastAsia="Arial" w:hAnsi="Arial" w:cs="Arial"/>
          <w:b/>
          <w:smallCaps/>
          <w:color w:val="000000"/>
          <w:sz w:val="36"/>
          <w:szCs w:val="36"/>
        </w:rPr>
      </w:pPr>
    </w:p>
    <w:p w:rsidR="00DC3C07" w:rsidRDefault="00DC3C07">
      <w:pPr>
        <w:spacing w:after="240" w:line="240" w:lineRule="auto"/>
        <w:rPr>
          <w:rFonts w:ascii="Arial" w:eastAsia="Arial" w:hAnsi="Arial" w:cs="Arial"/>
          <w:b/>
          <w:smallCaps/>
          <w:color w:val="000000"/>
          <w:sz w:val="36"/>
          <w:szCs w:val="36"/>
        </w:rPr>
      </w:pPr>
    </w:p>
    <w:p w:rsidR="00DC3C07" w:rsidRDefault="00DC3C07">
      <w:pPr>
        <w:spacing w:after="240" w:line="240" w:lineRule="auto"/>
        <w:rPr>
          <w:rFonts w:ascii="Arial" w:eastAsia="Arial" w:hAnsi="Arial" w:cs="Arial"/>
          <w:b/>
          <w:smallCaps/>
          <w:color w:val="000000"/>
          <w:sz w:val="36"/>
          <w:szCs w:val="36"/>
        </w:rPr>
      </w:pPr>
    </w:p>
    <w:p w:rsidR="00DC3C07" w:rsidRDefault="00DC3C07">
      <w:pPr>
        <w:spacing w:after="240" w:line="240" w:lineRule="auto"/>
        <w:rPr>
          <w:rFonts w:ascii="Arial" w:eastAsia="Arial" w:hAnsi="Arial" w:cs="Arial"/>
          <w:b/>
          <w:smallCaps/>
          <w:color w:val="000000"/>
          <w:sz w:val="36"/>
          <w:szCs w:val="36"/>
        </w:rPr>
      </w:pPr>
    </w:p>
    <w:p w:rsidR="00DC3C07" w:rsidRDefault="00DC3C07">
      <w:pPr>
        <w:spacing w:after="240" w:line="240" w:lineRule="auto"/>
        <w:rPr>
          <w:rFonts w:ascii="Arial" w:eastAsia="Arial" w:hAnsi="Arial" w:cs="Arial"/>
          <w:b/>
          <w:smallCaps/>
          <w:color w:val="000000"/>
          <w:sz w:val="36"/>
          <w:szCs w:val="36"/>
        </w:rPr>
      </w:pPr>
    </w:p>
    <w:p w:rsidR="00DC3C07" w:rsidRDefault="00DC3C07">
      <w:pPr>
        <w:spacing w:after="240" w:line="240" w:lineRule="auto"/>
        <w:rPr>
          <w:rFonts w:ascii="Arial" w:eastAsia="Arial" w:hAnsi="Arial" w:cs="Arial"/>
          <w:b/>
          <w:smallCaps/>
          <w:color w:val="000000"/>
          <w:sz w:val="36"/>
          <w:szCs w:val="36"/>
        </w:rPr>
      </w:pPr>
    </w:p>
    <w:p w:rsidR="00DC3C07" w:rsidRDefault="00DC3C07">
      <w:pPr>
        <w:spacing w:after="240" w:line="240" w:lineRule="auto"/>
        <w:rPr>
          <w:rFonts w:ascii="Arial" w:eastAsia="Arial" w:hAnsi="Arial" w:cs="Arial"/>
          <w:b/>
          <w:smallCaps/>
          <w:color w:val="000000"/>
          <w:sz w:val="36"/>
          <w:szCs w:val="36"/>
        </w:rPr>
      </w:pPr>
    </w:p>
    <w:p w:rsidR="00DC3C07" w:rsidRDefault="00DC3C07">
      <w:pPr>
        <w:spacing w:after="240" w:line="240" w:lineRule="auto"/>
        <w:rPr>
          <w:rFonts w:ascii="Arial" w:eastAsia="Arial" w:hAnsi="Arial" w:cs="Arial"/>
          <w:b/>
          <w:smallCaps/>
          <w:color w:val="000000"/>
          <w:sz w:val="36"/>
          <w:szCs w:val="36"/>
        </w:rPr>
      </w:pPr>
    </w:p>
    <w:p w:rsidR="00DC3C07" w:rsidRDefault="00DC3C07">
      <w:pPr>
        <w:spacing w:after="240" w:line="240" w:lineRule="auto"/>
        <w:rPr>
          <w:rFonts w:ascii="Arial" w:eastAsia="Arial" w:hAnsi="Arial" w:cs="Arial"/>
          <w:b/>
          <w:smallCaps/>
          <w:color w:val="000000"/>
          <w:sz w:val="36"/>
          <w:szCs w:val="36"/>
        </w:rPr>
      </w:pPr>
    </w:p>
    <w:p w:rsidR="00DC3C07" w:rsidRDefault="00DC3C07">
      <w:pPr>
        <w:spacing w:after="240" w:line="240" w:lineRule="auto"/>
        <w:rPr>
          <w:rFonts w:ascii="Arial" w:eastAsia="Arial" w:hAnsi="Arial" w:cs="Arial"/>
          <w:b/>
          <w:smallCaps/>
          <w:color w:val="000000"/>
          <w:sz w:val="36"/>
          <w:szCs w:val="36"/>
        </w:rPr>
      </w:pPr>
    </w:p>
    <w:p w:rsidR="00DC3C07" w:rsidRDefault="00DC3C07">
      <w:pPr>
        <w:spacing w:after="240" w:line="240" w:lineRule="auto"/>
        <w:rPr>
          <w:rFonts w:ascii="Arial" w:eastAsia="Arial" w:hAnsi="Arial" w:cs="Arial"/>
          <w:b/>
          <w:smallCaps/>
          <w:color w:val="000000"/>
          <w:sz w:val="36"/>
          <w:szCs w:val="36"/>
        </w:rPr>
      </w:pPr>
    </w:p>
    <w:p w:rsidR="00DC3C07" w:rsidRDefault="00DC3C07">
      <w:pPr>
        <w:spacing w:after="240" w:line="240" w:lineRule="auto"/>
        <w:rPr>
          <w:rFonts w:ascii="Arial" w:eastAsia="Arial" w:hAnsi="Arial" w:cs="Arial"/>
          <w:b/>
          <w:smallCaps/>
          <w:color w:val="000000"/>
          <w:sz w:val="36"/>
          <w:szCs w:val="36"/>
        </w:rPr>
      </w:pPr>
    </w:p>
    <w:p w:rsidR="00DC3C07" w:rsidRDefault="00DC3C07">
      <w:pPr>
        <w:spacing w:after="240" w:line="240" w:lineRule="auto"/>
        <w:rPr>
          <w:rFonts w:ascii="Arial" w:eastAsia="Arial" w:hAnsi="Arial" w:cs="Arial"/>
          <w:b/>
          <w:smallCaps/>
          <w:color w:val="000000"/>
          <w:sz w:val="36"/>
          <w:szCs w:val="36"/>
        </w:rPr>
      </w:pPr>
    </w:p>
    <w:p w:rsidR="00DC3C07" w:rsidRDefault="003064B3">
      <w:pPr>
        <w:spacing w:after="240" w:line="240" w:lineRule="auto"/>
        <w:rPr>
          <w:color w:val="000000"/>
          <w:sz w:val="18"/>
          <w:szCs w:val="18"/>
        </w:rPr>
      </w:pPr>
      <w:r>
        <w:rPr>
          <w:rFonts w:ascii="Arial" w:eastAsia="Arial" w:hAnsi="Arial" w:cs="Arial"/>
          <w:b/>
          <w:smallCaps/>
          <w:color w:val="000000"/>
          <w:sz w:val="36"/>
          <w:szCs w:val="36"/>
        </w:rPr>
        <w:lastRenderedPageBreak/>
        <w:t xml:space="preserve">ANNEX 3: FRAMEWORK PRICES </w:t>
      </w:r>
      <w:r>
        <w:rPr>
          <w:rFonts w:ascii="Arial" w:eastAsia="Arial" w:hAnsi="Arial" w:cs="Arial"/>
          <w:b/>
          <w:smallCaps/>
          <w:color w:val="000000"/>
          <w:sz w:val="32"/>
          <w:szCs w:val="32"/>
        </w:rPr>
        <w:t>(Lot 3)</w:t>
      </w:r>
    </w:p>
    <w:p w:rsidR="00DC3C07" w:rsidRDefault="003064B3">
      <w:pPr>
        <w:spacing w:after="240" w:line="240" w:lineRule="auto"/>
        <w:jc w:val="both"/>
        <w:rPr>
          <w:rFonts w:ascii="Arial" w:eastAsia="Arial" w:hAnsi="Arial" w:cs="Arial"/>
          <w:sz w:val="26"/>
          <w:szCs w:val="26"/>
        </w:rPr>
      </w:pPr>
      <w:r>
        <w:rPr>
          <w:rFonts w:ascii="Arial" w:eastAsia="Arial" w:hAnsi="Arial" w:cs="Arial"/>
          <w:color w:val="000000"/>
          <w:sz w:val="24"/>
          <w:szCs w:val="24"/>
        </w:rPr>
        <w:t>Please refer to Annex 2 – Table 1 - Water Ancillary Services and Table 2 – Water and Sewerage Services</w:t>
      </w:r>
    </w:p>
    <w:p w:rsidR="00DC3C07" w:rsidRDefault="00DC3C07">
      <w:pPr>
        <w:keepNext/>
        <w:spacing w:before="240" w:after="240" w:line="240" w:lineRule="auto"/>
        <w:rPr>
          <w:rFonts w:ascii="Arial" w:eastAsia="Arial" w:hAnsi="Arial" w:cs="Arial"/>
          <w:sz w:val="24"/>
          <w:szCs w:val="24"/>
        </w:rPr>
      </w:pPr>
    </w:p>
    <w:p w:rsidR="00DC3C07" w:rsidRDefault="00DC3C07">
      <w:pPr>
        <w:keepNext/>
        <w:spacing w:before="240" w:after="240" w:line="240" w:lineRule="auto"/>
        <w:rPr>
          <w:rFonts w:ascii="Arial" w:eastAsia="Arial" w:hAnsi="Arial" w:cs="Arial"/>
          <w:sz w:val="24"/>
          <w:szCs w:val="24"/>
        </w:rPr>
      </w:pPr>
    </w:p>
    <w:p w:rsidR="00DC3C07" w:rsidRDefault="00DC3C07">
      <w:pPr>
        <w:rPr>
          <w:highlight w:val="yellow"/>
        </w:rPr>
      </w:pPr>
    </w:p>
    <w:p w:rsidR="00DC3C07" w:rsidRDefault="00DC3C07">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DC3C07" w:rsidRDefault="003064B3">
      <w:pPr>
        <w:rPr>
          <w:rFonts w:ascii="Arial" w:eastAsia="Arial" w:hAnsi="Arial" w:cs="Arial"/>
          <w:b/>
          <w:sz w:val="24"/>
          <w:szCs w:val="24"/>
        </w:rPr>
        <w:sectPr w:rsidR="00DC3C07">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pgNumType w:start="1"/>
          <w:cols w:space="720"/>
        </w:sectPr>
      </w:pPr>
      <w:bookmarkStart w:id="7" w:name="_heading=h.3dy6vkm" w:colFirst="0" w:colLast="0"/>
      <w:bookmarkEnd w:id="7"/>
      <w:r>
        <w:br w:type="page"/>
      </w:r>
      <w:r>
        <w:rPr>
          <w:rFonts w:ascii="Arial" w:eastAsia="Arial" w:hAnsi="Arial" w:cs="Arial"/>
          <w:b/>
          <w:sz w:val="24"/>
          <w:szCs w:val="24"/>
        </w:rPr>
        <w:lastRenderedPageBreak/>
        <w:t xml:space="preserve"> </w:t>
      </w:r>
    </w:p>
    <w:p w:rsidR="00DC3C07" w:rsidRDefault="00DC3C07">
      <w:pPr>
        <w:rPr>
          <w:rFonts w:ascii="Arial" w:eastAsia="Arial" w:hAnsi="Arial" w:cs="Arial"/>
          <w:b/>
          <w:sz w:val="24"/>
          <w:szCs w:val="24"/>
        </w:rPr>
      </w:pPr>
    </w:p>
    <w:sectPr w:rsidR="00DC3C07">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4B3" w:rsidRDefault="003064B3">
      <w:pPr>
        <w:spacing w:after="0" w:line="240" w:lineRule="auto"/>
      </w:pPr>
      <w:r>
        <w:separator/>
      </w:r>
    </w:p>
  </w:endnote>
  <w:endnote w:type="continuationSeparator" w:id="0">
    <w:p w:rsidR="003064B3" w:rsidRDefault="003064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C07" w:rsidRDefault="00DC3C0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C07" w:rsidRDefault="003064B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proofErr w:type="gramStart"/>
    <w:r>
      <w:rPr>
        <w:rFonts w:ascii="Arial" w:eastAsia="Arial" w:hAnsi="Arial" w:cs="Arial"/>
        <w:sz w:val="20"/>
        <w:szCs w:val="20"/>
      </w:rPr>
      <w:t>6306  Water</w:t>
    </w:r>
    <w:proofErr w:type="gramEnd"/>
    <w:r>
      <w:rPr>
        <w:rFonts w:ascii="Arial" w:eastAsia="Arial" w:hAnsi="Arial" w:cs="Arial"/>
        <w:sz w:val="20"/>
        <w:szCs w:val="20"/>
      </w:rPr>
      <w:t>, Wastewater and Ancillary Services (3)</w:t>
    </w:r>
    <w:r>
      <w:rPr>
        <w:rFonts w:ascii="Arial" w:eastAsia="Arial" w:hAnsi="Arial" w:cs="Arial"/>
        <w:sz w:val="20"/>
        <w:szCs w:val="20"/>
      </w:rPr>
      <w:tab/>
      <w:t xml:space="preserve">                                           </w:t>
    </w:r>
  </w:p>
  <w:p w:rsidR="00DC3C07" w:rsidRDefault="003064B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032F3">
      <w:rPr>
        <w:rFonts w:ascii="Arial" w:eastAsia="Arial" w:hAnsi="Arial" w:cs="Arial"/>
        <w:color w:val="000000"/>
        <w:sz w:val="20"/>
        <w:szCs w:val="20"/>
      </w:rPr>
      <w:fldChar w:fldCharType="separate"/>
    </w:r>
    <w:r w:rsidR="009032F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C3C07" w:rsidRDefault="003064B3">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C07" w:rsidRDefault="003064B3">
    <w:pPr>
      <w:tabs>
        <w:tab w:val="center" w:pos="4513"/>
        <w:tab w:val="right" w:pos="9026"/>
      </w:tabs>
      <w:spacing w:after="0"/>
    </w:pPr>
    <w:r>
      <w:t>Framework Ref: RM</w:t>
    </w:r>
    <w:r>
      <w:tab/>
    </w:r>
    <w:r>
      <w:t xml:space="preserve">                                           </w:t>
    </w:r>
  </w:p>
  <w:p w:rsidR="00DC3C07" w:rsidRDefault="003064B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DC3C07" w:rsidRDefault="003064B3">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4B3" w:rsidRDefault="003064B3">
      <w:pPr>
        <w:spacing w:after="0" w:line="240" w:lineRule="auto"/>
      </w:pPr>
      <w:r>
        <w:separator/>
      </w:r>
    </w:p>
  </w:footnote>
  <w:footnote w:type="continuationSeparator" w:id="0">
    <w:p w:rsidR="003064B3" w:rsidRDefault="003064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C07" w:rsidRDefault="00DC3C0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C07" w:rsidRDefault="003064B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DC3C07" w:rsidRDefault="003064B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C07" w:rsidRDefault="003064B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DC3C07" w:rsidRDefault="003064B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B21010"/>
    <w:multiLevelType w:val="multilevel"/>
    <w:tmpl w:val="B85403E6"/>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8E610F8"/>
    <w:multiLevelType w:val="multilevel"/>
    <w:tmpl w:val="462A4098"/>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C07"/>
    <w:rsid w:val="003064B3"/>
    <w:rsid w:val="009032F3"/>
    <w:rsid w:val="00DC3C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96184D73-2BB9-4779-A108-80FDD1AEA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7VJZsnHERz+UGJzHXxpyMrseOg==">CgMxLjAyCGguZ2pkZ3hzMgloLjMwajB6bGwyCmlkLjN6bnlzaDcyCWguMWZvYjl0ZTIJaC4yZXQ5MnAwMghoLnR5amN3dDIJaC4zZHk2dmttOAByITFnR25ETWQzaEtsRlIyRk5jV3llZF9uT0pmYVBfQWJLUA==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935</Words>
  <Characters>5332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Byrne</dc:creator>
  <cp:lastModifiedBy>Patricia Byrne</cp:lastModifiedBy>
  <cp:revision>2</cp:revision>
  <dcterms:created xsi:type="dcterms:W3CDTF">2024-07-31T09:11:00Z</dcterms:created>
  <dcterms:modified xsi:type="dcterms:W3CDTF">2024-07-31T09:11:00Z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